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F14" w:rsidRPr="00250F14" w:rsidRDefault="00250F14" w:rsidP="00250F14">
      <w:pPr>
        <w:shd w:val="clear" w:color="auto" w:fill="FFFFFF"/>
        <w:spacing w:after="150" w:line="600" w:lineRule="atLeast"/>
        <w:ind w:firstLine="709"/>
        <w:jc w:val="center"/>
        <w:outlineLvl w:val="0"/>
        <w:rPr>
          <w:rFonts w:ascii="Times New Roman" w:eastAsia="Times New Roman" w:hAnsi="Times New Roman" w:cs="Times New Roman"/>
          <w:b/>
          <w:kern w:val="36"/>
          <w:sz w:val="28"/>
          <w:szCs w:val="28"/>
          <w:lang w:eastAsia="ru-RU"/>
        </w:rPr>
      </w:pPr>
      <w:r w:rsidRPr="00250F14">
        <w:rPr>
          <w:rFonts w:ascii="Times New Roman" w:eastAsia="Times New Roman" w:hAnsi="Times New Roman" w:cs="Times New Roman"/>
          <w:b/>
          <w:kern w:val="36"/>
          <w:sz w:val="28"/>
          <w:szCs w:val="28"/>
          <w:lang w:eastAsia="ru-RU"/>
        </w:rPr>
        <w:t>Подвижные игры для детей с нарушением зрения</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Дети с нарушением зрения, как все обычные дети, хотят познавать этот мир, и при должных знаниях взрослые могут им в этом помочь. Организация игровых мероприятий для слепых и слабовидящих детей требует внимательного и комплексного подхода. Это взаимодействие критически важно, поскольку именно оно позволяет адаптировать игры и занятия так, чтобы они были максимально безопасными и эффективными для каждого конкретного ребенка.</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Медицинская диагностика играет ключевую роль в процессе адаптации игр. Специалисты должны анализировать индивидуальное состояние каждого ребенка, выявляя, какие игры могут быть для него противопоказаны, а какие, наоборот, помогут развить навыки и способности.</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Знание содержания и механики каждой игры так же очень важны, поскольку это позволяет корректно оценить, как игра может повлиять на функциональное состояние детей. Учитывая, что потеря зрения замедляет физическое развитие, может привести к трудностям в освоении пространственных представлений и координации движений, необходимо разрабатывать игры, которые способствуют развитию этих навыков в безопасной и поддерживающей обстановке.</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В некоторых случаях дети могут не иметь базовых навыков, таких как, способность ходить или бежать, что требует особенного внимания при выборе игр. Важно, чтобы адаптация игровых мероприятий учитывала множество факторов: остроту зрительного восприятия, предыдущий опыт ребенка, особенности его сенсорного восприятия (осязания и слуха), наличие остаточного зрения и уровень физической подготовленности. Все эти аспекты напрямую влияют на то, как ребенок будет воспринимать и участвовать в играх. Кроме того, необходимо учитывать возрастные и индивидуальные возможности ребенка, а также такие внешние факторы, как место и время проведения игры, поскольку они могут существенно влиять на общий настрой участников и их вовлеченность.</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Интересы детей также играют важную роль: необходимо следить за тем, чтобы выбранные игры вызывали интерес и радость, что поможет развить не только физические навыки, но и уверенность в своих силах, социализацию и эмоциональное развитие.</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Проведение подвижной игры для детей, особенно тех, кто имеет зрительные нарушения, требует особого внимания и тщательной подготовки. Одним из ключевых аспектов является правильный выбор инвентаря, который будет оптимально адаптирован для разных категорий детей.</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xml:space="preserve">Для подвижной игры с детьми, которые не видят, следует использовать озвученные атрибуты, такие как озвученные мячи, свистки, бубны, колокольчики и метрономы. Эти яркие звуковые элементы помогают детям </w:t>
      </w:r>
      <w:r w:rsidRPr="00250F14">
        <w:rPr>
          <w:rFonts w:ascii="Times New Roman" w:eastAsia="Times New Roman" w:hAnsi="Times New Roman" w:cs="Times New Roman"/>
          <w:sz w:val="28"/>
          <w:szCs w:val="28"/>
          <w:lang w:eastAsia="ru-RU"/>
        </w:rPr>
        <w:lastRenderedPageBreak/>
        <w:t>ориентироваться в пространстве и лучше взаимодействовать с окружающей средой, способствуют развитию тактильных и слуховых навыков.</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Территория для игры должна быть безопасной для детей. Важно определить размеры игровой площадки и установить ограничительные ориентиры. Эти ориентиры могут включать канавки, засыпанные песком чуть выше уровня игровой зоны, а также линии из гравия или специально подготовленный травяной покров. Такое подходящее оформление пространства способствует безопасному передвижению детей и снижает риск травм. Для слабовидящих детей допустимо использовать яркие цветные мелки или полоски ткани для обозначения ориентировочных линий. Эти элементы не только служат визуальными маркерами, но и создают дополнительный контраст, который облегчает восприятие окружающей обстановки. Это особенно важно, когда речь идет о взаимодействии с другими участниками игры и ориентировании по площадке. Дети должны иметь возможность самостоятельно исследовать пространство: побегать, походить и ощупать все предметы и инвентарь. Это поможет им создать ментальную карту окружающей среды и избавиться от страха перед неожиданными препятствиями.</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Создание игрового пространства с учетом всех этих рекомендаций не только способствует физической активности детей, но и помогает развивать их уверенность в себе, коммуникативные навыки и социальную адаптацию. Главное — это обеспечить каждому ребенку возможность активно участвовать и наслаждаться игрой в дружелюбной и безопасной атмосфере.</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В организации игр для детей с нарушениями зрения, таких как слепота и слабовидение, важно учитывать особенности восприятия, т.к. долгосрочное воздействие увеличенной слуховой нагрузки может вызывать не только утомление, но и стресс, поэтому подход к дозировке физической активности становится критически важным.</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Для стабильного эмоционального состояния детей во время игр следует периодически делать паузы, чтобы дать участникам возможность отдохнуть и перевести дух. Не менее значимо общение между игроками, так как оно создает игровую атмосферу и поддерживает положительный эмоциональный фон. Постепенно такие игры помогут детям с нарушениями зрения развить не только физические навыки, такие как ловкость и координация, но и уверенность в своих силах, что будет способствовать их самореализации и ощущению полноценности как участников групповой деятельности.</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proofErr w:type="gramStart"/>
      <w:r w:rsidRPr="00250F14">
        <w:rPr>
          <w:rFonts w:ascii="Times New Roman" w:eastAsia="Times New Roman" w:hAnsi="Times New Roman" w:cs="Times New Roman"/>
          <w:sz w:val="28"/>
          <w:szCs w:val="28"/>
          <w:lang w:eastAsia="ru-RU"/>
        </w:rPr>
        <w:t>Чтобы избежать переутомления, необходимо знать основные данные о физическом и психическом развитии каждого ребенка (рекомендации врачей,</w:t>
      </w:r>
      <w:proofErr w:type="gramEnd"/>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общее состояние здоровья ребенка, состояние опорно-двигательного аппарата, зрительного дефекта, способность ребенка ориентироваться в пространстве и пр.).</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lastRenderedPageBreak/>
        <w:t>При организации и проведении занятий со слепыми и слабовидящими детьми противопоказаны все виды игр, сопряженные с опасностью глазного травматизма, а также резкие наклоны, прыжки, упражнения с отягощением, упражнения, связанные с сотрясанием тела и наклонным положением головы.</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Рассмотрим несколько вариантов подвижных игр для слепых и слабовидящих обучающихся.</w:t>
      </w:r>
    </w:p>
    <w:p w:rsidR="00250F14" w:rsidRPr="00250F14" w:rsidRDefault="00250F14" w:rsidP="00250F14">
      <w:pPr>
        <w:numPr>
          <w:ilvl w:val="0"/>
          <w:numId w:val="1"/>
        </w:num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«Чем играем?»</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xml:space="preserve">Цель: развитие слухового восприятия, умения различать звуки. В игре участвуют от 4 до 15 человек. </w:t>
      </w:r>
      <w:proofErr w:type="gramStart"/>
      <w:r w:rsidRPr="00250F14">
        <w:rPr>
          <w:rFonts w:ascii="Times New Roman" w:eastAsia="Times New Roman" w:hAnsi="Times New Roman" w:cs="Times New Roman"/>
          <w:sz w:val="28"/>
          <w:szCs w:val="28"/>
          <w:lang w:eastAsia="ru-RU"/>
        </w:rPr>
        <w:t>Инвентарь: предметы, издающие различные звуки: колокольчик, бубен, метроном, погремушка, свисток, деревянные или металлические ложки, озвученные мячи, другие озвученные игрушки, бумага и т.д.</w:t>
      </w:r>
      <w:proofErr w:type="gramEnd"/>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Инструкция. Процесс игры начинается с выбора водящего. Это можно сделать случайным образом, например, с помощью считалки или другим способом, чтобы обеспечить равенство среди участников. Водящий становится спиной к остальным игрокам на расстоянии 2-3 метров, что создает необходимое пространство для выполнения задания.</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Когда несколько игроков (обычно 3-4) подходят к водящему по сигналу, они начинают генерировать звуки с помощью разных предметов. Важно, чтобы все звуки были различимы и легко узнаваемы, так как это повысит интерес к игре и позволит предотвратить путаницу.</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Основная задача водящего заключается в том, чтобы определить, с помощью какого предмета создается звук. Если водящий правильно называет предмет, он автоматически переходит в группу игроков и тогда выбирается новый водящий. Эта часть игры хорошо развивает как слуховые навыки, так и умение работать в команде.</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Если водящий не может угадать предмет за три попытки, играющие должны поменять звуковые предметы, что предоставляет еще одну возможность для его успешного участия в игре. Этот момент важен для поддержки водящего и создания комфортной атмосферы.</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В целом, эта игра также может помочь развить коммуникацию между детьми и научить их терпению, а также уважению к мнениям других, когда они работают вместе, чтобы помочь водящему угадать. Она проста в организации и может быть легко адаптирована под различные условия.</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Методические указания:</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Водящие с остатком зрения или нормально видящие должны закрыть глаза.</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Звуки необходимо периодически менять, включая новые предметы.</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lastRenderedPageBreak/>
        <w:t xml:space="preserve">· Начинать следует с самых простых звуков, хорошо знакомых игрокам, а заканчивать более </w:t>
      </w:r>
      <w:proofErr w:type="gramStart"/>
      <w:r w:rsidRPr="00250F14">
        <w:rPr>
          <w:rFonts w:ascii="Times New Roman" w:eastAsia="Times New Roman" w:hAnsi="Times New Roman" w:cs="Times New Roman"/>
          <w:sz w:val="28"/>
          <w:szCs w:val="28"/>
          <w:lang w:eastAsia="ru-RU"/>
        </w:rPr>
        <w:t>сложными</w:t>
      </w:r>
      <w:proofErr w:type="gramEnd"/>
      <w:r w:rsidRPr="00250F14">
        <w:rPr>
          <w:rFonts w:ascii="Times New Roman" w:eastAsia="Times New Roman" w:hAnsi="Times New Roman" w:cs="Times New Roman"/>
          <w:sz w:val="28"/>
          <w:szCs w:val="28"/>
          <w:lang w:eastAsia="ru-RU"/>
        </w:rPr>
        <w:t xml:space="preserve"> по силе и характеру.</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xml:space="preserve">· С незнакомым звуком </w:t>
      </w:r>
      <w:proofErr w:type="gramStart"/>
      <w:r w:rsidRPr="00250F14">
        <w:rPr>
          <w:rFonts w:ascii="Times New Roman" w:eastAsia="Times New Roman" w:hAnsi="Times New Roman" w:cs="Times New Roman"/>
          <w:sz w:val="28"/>
          <w:szCs w:val="28"/>
          <w:lang w:eastAsia="ru-RU"/>
        </w:rPr>
        <w:t>играющих</w:t>
      </w:r>
      <w:proofErr w:type="gramEnd"/>
      <w:r w:rsidRPr="00250F14">
        <w:rPr>
          <w:rFonts w:ascii="Times New Roman" w:eastAsia="Times New Roman" w:hAnsi="Times New Roman" w:cs="Times New Roman"/>
          <w:sz w:val="28"/>
          <w:szCs w:val="28"/>
          <w:lang w:eastAsia="ru-RU"/>
        </w:rPr>
        <w:t xml:space="preserve"> необходимо ознакомить предварительно.</w:t>
      </w:r>
    </w:p>
    <w:p w:rsidR="00250F14" w:rsidRPr="00250F14" w:rsidRDefault="00250F14" w:rsidP="00250F1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«Узнай по голосу»</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Цель: развитие слуха и умения ориентироваться в пространстве. Количество игроков: 5-20.</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Инструкция. Все играющие, взявшись за руки, образуют круг, водящий стоит в центре. Игроки по сигналу водящего начинают двигаться по кругу вправо (влево), приговаривая: «Мы немножко порезвились, по местам все разместились. Ты загадку отгадай, кто назвал тебя, узнай». С последними словами все останавливаются, и игрок, до которого во время движения по кругу водящий дотронулся рукой, называет его по имени измененным голосом, так, чтобы тот его не узнал. Если водящий узнает игрока, они меняются ролями, если же он ошибся, то продолжает водить.</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Методические указания:</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Во время игры следует соблюдать полную тишину.</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Водящий с остатком зрения или нормально видящий должен закрыть глаза или надеть повязку.</w:t>
      </w:r>
    </w:p>
    <w:p w:rsidR="00250F14" w:rsidRPr="00250F14" w:rsidRDefault="00250F14" w:rsidP="00250F14">
      <w:pPr>
        <w:numPr>
          <w:ilvl w:val="0"/>
          <w:numId w:val="3"/>
        </w:num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«Догоняй мяч»</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Цель: развитие внимания, точности и согласованности движений. Количество игроков — 10—12. Инвентарь: два озвученных мяча.</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Инструкция. Все играющие образуют круг. Двум играющим, стоящим в кругу через 3—4 игрока друг от друга, выдается по мячу. По сигналу водящего играющие стараются как можно быстрее передавать мячи игроку справа, с тем, чтобы один мяч догнал другой. Когда это произойдет, игра начинается снова. Методические указания:</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Мячи можно только передавать, но не бросать.</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Количество мячей можно увеличивать.</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Передача мяча осуществляется на уровне пояса или груди.</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 </w:t>
      </w:r>
    </w:p>
    <w:p w:rsidR="00250F14"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sz w:val="28"/>
          <w:szCs w:val="28"/>
          <w:lang w:eastAsia="ru-RU"/>
        </w:rPr>
        <w:t>Таким образом, адаптация игр для слепых и слабовидящих детей — это сложная, но невероятно важная задача, требующая многостороннего подхода и глубокого понимания индивидуальных потребностей каждого ребенка.</w:t>
      </w:r>
    </w:p>
    <w:p w:rsidR="00941F98" w:rsidRPr="00250F14" w:rsidRDefault="00250F14" w:rsidP="00250F14">
      <w:pPr>
        <w:shd w:val="clear" w:color="auto" w:fill="FFFFFF"/>
        <w:spacing w:after="150" w:line="240" w:lineRule="auto"/>
        <w:ind w:firstLine="709"/>
        <w:jc w:val="both"/>
        <w:rPr>
          <w:rFonts w:ascii="Times New Roman" w:eastAsia="Times New Roman" w:hAnsi="Times New Roman" w:cs="Times New Roman"/>
          <w:sz w:val="28"/>
          <w:szCs w:val="28"/>
          <w:lang w:eastAsia="ru-RU"/>
        </w:rPr>
      </w:pPr>
      <w:r w:rsidRPr="00250F14">
        <w:rPr>
          <w:rFonts w:ascii="Times New Roman" w:eastAsia="Times New Roman" w:hAnsi="Times New Roman" w:cs="Times New Roman"/>
          <w:i/>
          <w:iCs/>
          <w:sz w:val="28"/>
          <w:szCs w:val="28"/>
          <w:lang w:eastAsia="ru-RU"/>
        </w:rPr>
        <w:t xml:space="preserve">по материалам инструктора – методиста по АФК  Красикова А.С. с сайта </w:t>
      </w:r>
      <w:hyperlink r:id="rId5" w:history="1">
        <w:proofErr w:type="spellStart"/>
        <w:r w:rsidRPr="00250F14">
          <w:rPr>
            <w:rStyle w:val="a7"/>
            <w:rFonts w:ascii="Times New Roman" w:eastAsia="Times New Roman" w:hAnsi="Times New Roman" w:cs="Times New Roman"/>
            <w:i/>
            <w:iCs/>
            <w:color w:val="auto"/>
            <w:sz w:val="28"/>
            <w:szCs w:val="28"/>
            <w:lang w:eastAsia="ru-RU"/>
          </w:rPr>
          <w:t>creab.vyb.gov.spb.ru</w:t>
        </w:r>
        <w:proofErr w:type="spellEnd"/>
      </w:hyperlink>
      <w:r w:rsidRPr="00250F14">
        <w:rPr>
          <w:rFonts w:ascii="Times New Roman" w:eastAsia="Times New Roman" w:hAnsi="Times New Roman" w:cs="Times New Roman"/>
          <w:i/>
          <w:iCs/>
          <w:sz w:val="28"/>
          <w:szCs w:val="28"/>
          <w:lang w:eastAsia="ru-RU"/>
        </w:rPr>
        <w:t xml:space="preserve"> </w:t>
      </w:r>
    </w:p>
    <w:sectPr w:rsidR="00941F98" w:rsidRPr="00250F14" w:rsidSect="00941F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A47F3"/>
    <w:multiLevelType w:val="multilevel"/>
    <w:tmpl w:val="F1BA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007B49"/>
    <w:multiLevelType w:val="multilevel"/>
    <w:tmpl w:val="FAB0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E3623A"/>
    <w:multiLevelType w:val="multilevel"/>
    <w:tmpl w:val="50DC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0F14"/>
    <w:rsid w:val="00250F14"/>
    <w:rsid w:val="00941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F98"/>
  </w:style>
  <w:style w:type="paragraph" w:styleId="1">
    <w:name w:val="heading 1"/>
    <w:basedOn w:val="a"/>
    <w:link w:val="10"/>
    <w:uiPriority w:val="9"/>
    <w:qFormat/>
    <w:rsid w:val="00250F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0F14"/>
    <w:rPr>
      <w:rFonts w:ascii="Times New Roman" w:eastAsia="Times New Roman" w:hAnsi="Times New Roman" w:cs="Times New Roman"/>
      <w:b/>
      <w:bCs/>
      <w:kern w:val="36"/>
      <w:sz w:val="48"/>
      <w:szCs w:val="48"/>
      <w:lang w:eastAsia="ru-RU"/>
    </w:rPr>
  </w:style>
  <w:style w:type="paragraph" w:customStyle="1" w:styleId="date">
    <w:name w:val="date"/>
    <w:basedOn w:val="a"/>
    <w:rsid w:val="00250F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0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50F14"/>
    <w:rPr>
      <w:i/>
      <w:iCs/>
    </w:rPr>
  </w:style>
  <w:style w:type="paragraph" w:styleId="a5">
    <w:name w:val="Balloon Text"/>
    <w:basedOn w:val="a"/>
    <w:link w:val="a6"/>
    <w:uiPriority w:val="99"/>
    <w:semiHidden/>
    <w:unhideWhenUsed/>
    <w:rsid w:val="00250F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0F14"/>
    <w:rPr>
      <w:rFonts w:ascii="Tahoma" w:hAnsi="Tahoma" w:cs="Tahoma"/>
      <w:sz w:val="16"/>
      <w:szCs w:val="16"/>
    </w:rPr>
  </w:style>
  <w:style w:type="character" w:styleId="a7">
    <w:name w:val="Hyperlink"/>
    <w:basedOn w:val="a0"/>
    <w:uiPriority w:val="99"/>
    <w:unhideWhenUsed/>
    <w:rsid w:val="00250F1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868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reab.vyb.gov.spb.ru/stati/podvizhnye-igry-dlja-detej-s-narusheniem-zrenij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1410</Words>
  <Characters>8042</Characters>
  <Application>Microsoft Office Word</Application>
  <DocSecurity>0</DocSecurity>
  <Lines>67</Lines>
  <Paragraphs>18</Paragraphs>
  <ScaleCrop>false</ScaleCrop>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2026-06-02T07:21:00Z</dcterms:created>
  <dcterms:modified xsi:type="dcterms:W3CDTF">2026-06-02T07:25:00Z</dcterms:modified>
</cp:coreProperties>
</file>